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6A" w:rsidRPr="0096226A" w:rsidRDefault="0096226A" w:rsidP="0096226A">
      <w:pPr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 xml:space="preserve">Działania podejmowane przez Komisję Europejską na rzecz walki z epidemią </w:t>
      </w:r>
      <w:proofErr w:type="spellStart"/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koronawirusa</w:t>
      </w:r>
      <w:proofErr w:type="spellEnd"/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 xml:space="preserve"> w Unii Europejskiej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</w:p>
    <w:p w:rsidR="0096226A" w:rsidRPr="0096226A" w:rsidRDefault="0096226A" w:rsidP="0096226A">
      <w:pPr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COVID-19 to poważny stan zagrożenia zdrowia publicznego dla naszych obywateli, społeczeństw i gospodarek </w:t>
      </w:r>
      <w:r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- </w:t>
      </w:r>
      <w:r w:rsidR="003F4937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we</w:t>
      </w:r>
      <w:bookmarkStart w:id="0" w:name="_GoBack"/>
      <w:bookmarkEnd w:id="0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wszystkich państwach członkowskich. Jest to także poważny szok gospodarczy dla </w:t>
      </w:r>
      <w:r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Unii Europejskiej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. W związku z tym Komisja</w:t>
      </w:r>
      <w:r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Europejska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przedstawia </w:t>
      </w:r>
      <w:r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pilną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odpowiedź w celu złagodzenia społeczno-gospodarczych skutków wybuchu epidemii wirusa COVID-19, koncentrując się na </w:t>
      </w: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skoordynowanej reakcji europejskiej.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Komisja wykorzysta wszystkie dostępne jej instrumenty, aby złagodzić skutki pandemii, w szczególności: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- Zapewnienie niezbędnych dostaw do europejskich systemów opieki zdrowotnej poprzez zachowanie integralności jednolitego rynku oraz produkcji i dystrybucji łańcuchów wartości;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- Wspieranie ludzi, aby wpływ epidemii na dochody i miejsca pracy nie był nieproporcjonalny oraz aby uniknąć trwałych skutków kryzysu;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- Wspieranie firm i zapewnienie, że płynność naszego sektora finansowego może nadal wspierać gospodarkę;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- Umożliwienie państwom członkowskim podjęcia zdecydowanych działań w skoordynowany sposób, poprzez wykorzystanie pełnej elastyczności naszych Ram Pomocy oraz Ram Paktu na rzecz Stabilności i Wzrostu;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  <w:shd w:val="clear" w:color="auto" w:fill="F5F5F5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Przewodnicząca Komisji Europejskiej Ursula von der </w:t>
      </w:r>
      <w:proofErr w:type="spellStart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Leyen</w:t>
      </w:r>
      <w:proofErr w:type="spellEnd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powiedziała: „Pandemia </w:t>
      </w:r>
      <w:proofErr w:type="spellStart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koronawirusa</w:t>
      </w:r>
      <w:proofErr w:type="spellEnd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to test dla nas wszystkich. Jest to nie tylko bezprecedensowe wyzwanie dla naszych systemów opieki zdrowotnej, ale także poważny szok dla naszych gospodarek. Ogłoszony dziś pakiet gospodarczy dotyczy sytuacji tu i teraz. Jesteśmy gotowi zrobić więcej w miarę rozwoju sytuacji. Zrobimy wszystko, co konieczne, aby wesprzeć Europejczyków i europejską gospodarkę. ”</w:t>
      </w:r>
    </w:p>
    <w:p w:rsidR="0096226A" w:rsidRPr="0096226A" w:rsidRDefault="0096226A" w:rsidP="0096226A">
      <w:pPr>
        <w:jc w:val="both"/>
        <w:rPr>
          <w:rFonts w:ascii="Cambria" w:hAnsi="Cambria"/>
          <w:color w:val="000000" w:themeColor="text1"/>
          <w:sz w:val="24"/>
          <w:szCs w:val="24"/>
          <w:shd w:val="clear" w:color="auto" w:fill="F5F5F5"/>
        </w:rPr>
      </w:pP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Środki na walkę z epidemią będą przede wszystkim pochodzić z budżetów krajowych państw członkowskich. Unijne przepisy dotyczące pomocy państwa umożliwiają państwom członkowskim szybkie i skuteczne działania w celu wspierania obywateli i przedsiębiorstw, w szczególności MŚP, borykających się z trudnościami gospodarczymi spowodowanymi wybuchem epidemii COVID-19.</w:t>
      </w:r>
      <w:r w:rsidRPr="0096226A">
        <w:rPr>
          <w:rFonts w:ascii="Cambria" w:hAnsi="Cambria"/>
          <w:color w:val="000000" w:themeColor="text1"/>
          <w:sz w:val="24"/>
          <w:szCs w:val="24"/>
        </w:rPr>
        <w:br/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Państwa członkowskie mają narzędzia do opracowania rozmaitych form wsparcia zgodnie z obowiązującymi przepisami UE. Po pierwsze, mogą zdecydować o podjęciu środków, takich jak: dopłaty do wynagrodzeń, zawieszenie płatności podatków (odroczenie terminów) od osób prawnych i od wartości dodanej lub składek na ubezpieczenia społeczne. Ponadto państwa członkowskie mogą udzielać wsparcia finansowego bezpośrednio konsumentom, na przykład w przypadku anulowanych usług lub biletów, które nie są zwracane przez zainteresowanych operatorów. Ponadto unijne przepisy dotyczące pomocy państwa umożliwiają państwom członkowskim pomaganie przedsiębiorstwom w radzeniu sobie z niedoborami płynności i potrzebującymi pilnej 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lastRenderedPageBreak/>
        <w:t xml:space="preserve">pomocy na ratowanie. </w:t>
      </w: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Artykuł 107 ust. 2 lit. b) TFUE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umożliwia państwom członkowskim zrekompensowanie przedsiębiorstwom szkód bezpośrednio spowodowanych wyjątkowymi zdarzeniami, w tym środków w sektorach takich jak lotnictwo i turystyka.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Obecnie wpływ epidemii COVID-19 </w:t>
      </w: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we Włoszech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ma charakter i skalę, która pozwala na stosowanie art. 107 ust. 3 lit. b) TFUE. 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Umożliwia to Komisji zatwierdzenie dodatkowych krajowych środków wsparcia w celu zaradzenia poważnym zaburzeniom w gospodarce tego właśnie państwa członkowskiego UE.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W ocenie Komisji dotyczącej zastosowania art. 107 ust. 3 lit. b dla innych państw członkowskich zastosowane zostanie podobne podejście. Komisja przygotowuje </w:t>
      </w: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specjalne ramy prawne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na podstawie art. 107 ust. 3 lit. b) TFUE do przyjęcia w razie potrzeby.</w:t>
      </w:r>
      <w:r w:rsidRPr="0096226A">
        <w:rPr>
          <w:rFonts w:ascii="Cambria" w:hAnsi="Cambria"/>
          <w:color w:val="000000" w:themeColor="text1"/>
          <w:sz w:val="24"/>
          <w:szCs w:val="24"/>
        </w:rPr>
        <w:br/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Komisja jest gotowa współpracować ze wszystkimi państwami członkowskimi, aby zapewnić terminowe wprowadzenie ewentualnych krajowych środków wsparcia w walce z wybuchem wirusa COVID-19.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Komisja zaproponuje Radzie zastosowanie pełnej elastyczności przewidzianej w ramach budżetowych UE, aby mogła ona wdrożyć środki niezbędne do powstrzymania epidemii </w:t>
      </w:r>
      <w:proofErr w:type="spellStart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koronawirusa</w:t>
      </w:r>
      <w:proofErr w:type="spellEnd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i złagodzenia jej negatywnych skutków społeczno-ekonomicznych.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Po pierwsze, Komisja uważa, że ​​pandemia COVID-19 kwalifikuje się jako „niecodzienne wydarzenie poza kontrolą rządu”. Umożliwia to uwzględnienie wyjątkowych wydatków w celu powstrzymania epidemii COVID-19, takich jak wydatki na opiekę zdrowotną i ukierunkowane środki pomocy dla firm i pracowników.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Po drugie, Komisja zaleci dostosowanie wysiłków fiskalnych wymaganych od państw członkowskich w przypadku ujemnego wzrostu gospodarczego lub znacznego spadku aktywności gospodarczej (np. zamykanie lokali gastronomicznych).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Wreszcie Komisja jest gotowa zaproponować Radzie aktywację ogólnej </w:t>
      </w: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klauzuli ucieczki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, aby uwzględnić bardziej ogólne wsparcie polityki fiskalnej. Klauzula ta - we współpracy z Radą - </w:t>
      </w: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zawiesiłaby zalecaną przez Radę korektę budżetową w przypadku poważnego pogorszenia koniunktury gospodarczej w strefie euro lub w całej UE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.</w:t>
      </w:r>
    </w:p>
    <w:p w:rsidR="0096226A" w:rsidRPr="0096226A" w:rsidRDefault="0096226A" w:rsidP="0096226A">
      <w:pPr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Zapewnienie solidarności na jednolitym rynku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Tylko dzięki solidarności i skoordynowanemu ogólnoeuropejskiemu rozwiązaniu będziemy w stanie skutecznie zarządzać tą sytuacją kryzysową </w:t>
      </w: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w zakresie zdrowia publicznego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. Solidarność ma kluczowe znaczenie w tym kryzysie, w szczególności w celu zapewnienia, że ​​niezbędne towary, niezbędne w celu ograniczenia ryzyka zdrowotnego spowodowanego wybuchem epidemii, mogły dotrzeć do wszystkich potrzebujących. 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lastRenderedPageBreak/>
        <w:t>Konieczne jest wspólne działanie w celu zapewnienia kontynuacji produkcji, magazynowania, dostępności i racjonalnego korzystania z medycznego sprzętu ochronnego i leków w UE, w sposób otwarty i przejrzysty, a nie podejmowanie jednostronnych środków ograniczających swobodny przepływ podstawowych towarów opieki zdrowotnej.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W związku z tym Komisja podejmuje wszelkie niezbędne kroki w tym celu, w tym udziela wskazówek państwom członkowskim, w jaki sposób wprowadzić odpowiednie mechanizmy kontroli w celu zapewnienia bezpieczeństwa dostaw, oraz uruchamiając przyspieszoną procedurę wspólnych zamówień na te towary i wydając zalecenie w sprawie sprzętu ochronnego z oznakowaniem CE.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Wybuch epidemii COVID-19 ma duży wpływ na nasze systemy transportowe, biorąc pod uwagę ścisłe powiązanie europejskich łańcuchów dostaw, wspieranych przez rozległą sieć usług towarowych na lądzie, na morzu i w powietrzu. 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Komisja współpracuje z państwami członkowskimi w celu zapewnienia przepływu podstawowych towarów przez granice lądowe. Szczególnie ucierpiał międzynarodowy i europejski przemysł lotniczy. Jak ogłosiła 10 marca Przewodnicząca Von der </w:t>
      </w:r>
      <w:proofErr w:type="spellStart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Leyen</w:t>
      </w:r>
      <w:proofErr w:type="spellEnd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, aby pomóc złagodzić skutki epidemii pod względem ekonomicznym i ekologicznym, Komisja proponuje ukierunkowane przepisy mające na celu tymczasowe złagodzenie zasady „wykorzystaj lub strać” - zgodnie z którą przewoźnicy lotniczy muszą wykorzystać co najmniej 80% czasu „na start lub lądowanie” w portach lotniczych w danym okresie, aby utrzymać je w odpowiednim okresie następnego roku.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Wreszcie, Komisja współpracuje z państwami członkowskimi, władzami międzynarodowymi i kluczowymi stowarzyszeniami zawodowymi UE, aby monitorować wpływ kryzysu na sektor turystyczny i koordynować środki wsparcia.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</w:p>
    <w:p w:rsidR="0096226A" w:rsidRPr="0096226A" w:rsidRDefault="0096226A" w:rsidP="0096226A">
      <w:pPr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Mobilizowanie budżetu UE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Aby przynieść natychmiastową ulgę najbardziej dotkniętym MŚP, budżet UE wykorzysta istniejące instrumenty wsparcia płynności tych przedsiębiorstw, uzupełniając środki podejmowane na szczeblu krajowym. W nadchodzących tygodniach 1 mld EUR zostanie </w:t>
      </w:r>
      <w:proofErr w:type="spellStart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przekierowanych</w:t>
      </w:r>
      <w:proofErr w:type="spellEnd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z budżetu UE jako gwarancja dla Europejskiego Funduszu Inwestycyjnego w celu zachęcenia banków do zapewnienia płynności MŚP i firmom o średniej kapitalizacji. Pomoże to co najmniej 100 000 europejskim MŚP i małym przedsiębiorstwom o średniej kapitalizacji dzięki dofinansowaniu w wysokości około 8 mld EUR. 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</w:p>
    <w:p w:rsidR="0096226A" w:rsidRPr="0096226A" w:rsidRDefault="0096226A" w:rsidP="0096226A">
      <w:pPr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Łagodzenie wpływu epidemii na rynek pracy/zatrudnienie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  <w:shd w:val="clear" w:color="auto" w:fill="F5F5F5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Komisja Europejska chce chronić pracowników przed bezrobociem i utratą dochodów, aby uniknąć długotrwałego kryzysu. Komisja jest gotowa wesprzeć państwa członkowskie w tym zakresie, promując w szczególności programy pracy krótkoterminowej, programy podnoszenia umiejętności i podnoszenia kwalifikacji, które okazały się skuteczne w przeszłości.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  <w:shd w:val="clear" w:color="auto" w:fill="F5F5F5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Komisja przyspieszy ponadto przygotowanie wniosku ustawodawczego w sprawie 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lastRenderedPageBreak/>
        <w:t>europejskiego systemu reasekuracji bezrobocia mającego na celu wspieranie polityk państw członkowskich chroniących miejsca pracy i umiejętności.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  <w:shd w:val="clear" w:color="auto" w:fill="F5F5F5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Ponadto, tzw. Inicjatywa Inwestycyjna w związku z </w:t>
      </w:r>
      <w:proofErr w:type="spellStart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koronawirusem</w:t>
      </w:r>
      <w:proofErr w:type="spellEnd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 ułatwi wdrożenie Europejskiego Funduszu Społecznego - funduszu ukierunkowanego na wspieranie pracowników i opieki zdrowotnej.</w:t>
      </w:r>
      <w:r w:rsidRPr="0096226A">
        <w:rPr>
          <w:rFonts w:ascii="Cambria" w:hAnsi="Cambria"/>
          <w:color w:val="000000" w:themeColor="text1"/>
          <w:sz w:val="24"/>
          <w:szCs w:val="24"/>
          <w:shd w:val="clear" w:color="auto" w:fill="F5F5F5"/>
        </w:rPr>
        <w:br/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Europejski Fundusz Dostosowania do Globalizacji można również uruchomić w celu wsparcia zwolnionych pracowników i osób prowadzących działalność na własny rachunek, zgodnie z warunkami obecnego i przyszłego rozporządzenia. W 2020 r. Dostępnych jest na ten cel 179 mln EUR.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  <w:shd w:val="clear" w:color="auto" w:fill="F5F5F5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W ramach tej nowej inicjatywy Komisja proponuje skierować 37 miliardów euro w ramach polityki spójności na walkę z epidemią </w:t>
      </w:r>
      <w:proofErr w:type="spellStart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koronawirusa</w:t>
      </w:r>
      <w:proofErr w:type="spellEnd"/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. 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 xml:space="preserve">W tym celu Komisja proponuje zniesienie w tym roku obowiązku zwrotu niewydanych płatności zaliczkowych na fundusze strukturalne. Stanowi to około 8 miliardów euro z budżetu UE, które </w:t>
      </w:r>
      <w:r w:rsidRPr="0096226A">
        <w:rPr>
          <w:rFonts w:ascii="Cambria" w:hAnsi="Cambria" w:cs="Arial"/>
          <w:b/>
          <w:bCs/>
          <w:color w:val="000000" w:themeColor="text1"/>
          <w:sz w:val="24"/>
          <w:szCs w:val="24"/>
          <w:shd w:val="clear" w:color="auto" w:fill="F5F5F5"/>
        </w:rPr>
        <w:t>państwa członkowskie będą mogły wykorzystać do uzupełnienia 29 miliardów euro z funduszy strukturalnych w całej UE</w:t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. Skutecznie zwiększy to kwotę inwestycji w 2020 r. I pomoże na wstępnym wykorzystaniu dotychczas nieprzydzielonego 28 mld EUR finansowania w ramach polityki spójności w ramach programów polityki spójności na lata 2014–2020. Komisja wzywa Parlament Europejski i Radę do szybkiego zatwierdzenia tego wniosku, aby mógł zostać przyjęty w ciągu najbliższych dwóch tygodni.</w:t>
      </w:r>
    </w:p>
    <w:p w:rsidR="0096226A" w:rsidRPr="0096226A" w:rsidRDefault="0096226A" w:rsidP="0096226A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</w:pPr>
      <w:r w:rsidRPr="0096226A">
        <w:rPr>
          <w:rFonts w:ascii="Cambria" w:hAnsi="Cambria"/>
          <w:color w:val="000000" w:themeColor="text1"/>
          <w:sz w:val="24"/>
          <w:szCs w:val="24"/>
          <w:shd w:val="clear" w:color="auto" w:fill="F5F5F5"/>
        </w:rPr>
        <w:br/>
      </w:r>
      <w:r w:rsidRPr="0096226A">
        <w:rPr>
          <w:rFonts w:ascii="Cambria" w:hAnsi="Cambria" w:cs="Arial"/>
          <w:color w:val="000000" w:themeColor="text1"/>
          <w:sz w:val="24"/>
          <w:szCs w:val="24"/>
          <w:shd w:val="clear" w:color="auto" w:fill="F5F5F5"/>
        </w:rPr>
        <w:t>Ponadto Komisja proponuje rozszerzenie zakresu Funduszu Solidarności UE poprzez objęcie nim również kryzysu zdrowia publicznego, aby w razie potrzeby zmobilizować go w przypadku najbardziej dotkniętych państw członkowskich. W 2020 r. dostępnych jest na ten cel do 800 mln EUR.</w:t>
      </w:r>
    </w:p>
    <w:p w:rsidR="008224F2" w:rsidRDefault="008224F2" w:rsidP="0096226A">
      <w:pPr>
        <w:jc w:val="both"/>
        <w:rPr>
          <w:color w:val="000000" w:themeColor="text1"/>
          <w:sz w:val="24"/>
          <w:szCs w:val="24"/>
        </w:rPr>
      </w:pPr>
    </w:p>
    <w:p w:rsidR="0096226A" w:rsidRPr="0096226A" w:rsidRDefault="0096226A" w:rsidP="0096226A">
      <w:pPr>
        <w:jc w:val="both"/>
        <w:rPr>
          <w:b/>
          <w:bCs/>
          <w:color w:val="000000" w:themeColor="text1"/>
          <w:sz w:val="24"/>
          <w:szCs w:val="24"/>
        </w:rPr>
      </w:pPr>
      <w:r w:rsidRPr="0096226A">
        <w:rPr>
          <w:b/>
          <w:bCs/>
          <w:color w:val="000000" w:themeColor="text1"/>
          <w:sz w:val="24"/>
          <w:szCs w:val="24"/>
        </w:rPr>
        <w:t>Tłumaczył: Jan Polaczek</w:t>
      </w:r>
    </w:p>
    <w:sectPr w:rsidR="0096226A" w:rsidRPr="0096226A" w:rsidSect="0076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26A"/>
    <w:rsid w:val="003F4937"/>
    <w:rsid w:val="007628F4"/>
    <w:rsid w:val="008224F2"/>
    <w:rsid w:val="0096226A"/>
    <w:rsid w:val="00B4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2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1404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G1</cp:lastModifiedBy>
  <cp:revision>2</cp:revision>
  <dcterms:created xsi:type="dcterms:W3CDTF">2020-03-17T08:41:00Z</dcterms:created>
  <dcterms:modified xsi:type="dcterms:W3CDTF">2020-03-17T08:41:00Z</dcterms:modified>
</cp:coreProperties>
</file>